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4C77" w14:textId="77777777" w:rsidR="009406DD" w:rsidRPr="00E33A53" w:rsidRDefault="009406DD" w:rsidP="009406DD">
      <w:pPr>
        <w:pStyle w:val="NoSpacing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E33A53">
        <w:rPr>
          <w:rFonts w:ascii="Times New Roman" w:hAnsi="Times New Roman" w:cs="Times New Roman"/>
          <w:b/>
          <w:bCs/>
          <w:caps/>
          <w:lang w:val="ru-RU"/>
        </w:rPr>
        <w:t>Методические рекомендации</w:t>
      </w:r>
    </w:p>
    <w:p w14:paraId="4AF53EA2" w14:textId="77777777" w:rsidR="009406DD" w:rsidRPr="00E33A53" w:rsidRDefault="009406DD" w:rsidP="009406DD">
      <w:pPr>
        <w:pStyle w:val="NoSpacing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E33A53">
        <w:rPr>
          <w:rFonts w:ascii="Times New Roman" w:hAnsi="Times New Roman" w:cs="Times New Roman"/>
          <w:b/>
          <w:bCs/>
          <w:caps/>
          <w:lang w:val="ru-RU"/>
        </w:rPr>
        <w:t>по подготовке СРС</w:t>
      </w:r>
    </w:p>
    <w:p w14:paraId="3D7098AE" w14:textId="77777777" w:rsidR="009406DD" w:rsidRPr="00E33A53" w:rsidRDefault="009406DD" w:rsidP="009406DD">
      <w:pPr>
        <w:pStyle w:val="NoSpacing"/>
        <w:rPr>
          <w:rFonts w:ascii="Times New Roman" w:hAnsi="Times New Roman" w:cs="Times New Roman"/>
          <w:lang w:val="ru-RU"/>
        </w:rPr>
      </w:pPr>
    </w:p>
    <w:p w14:paraId="138A3009" w14:textId="6177CE60" w:rsidR="009406DD" w:rsidRPr="009406DD" w:rsidRDefault="009406DD" w:rsidP="009406DD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Весенний </w:t>
      </w:r>
      <w:r w:rsidRPr="009406DD">
        <w:rPr>
          <w:rFonts w:ascii="Times New Roman" w:hAnsi="Times New Roman" w:cs="Times New Roman"/>
          <w:lang w:val="ru-RU"/>
        </w:rPr>
        <w:t xml:space="preserve">семестр </w:t>
      </w:r>
      <w:proofErr w:type="gramStart"/>
      <w:r w:rsidRPr="009406DD">
        <w:rPr>
          <w:rFonts w:ascii="Times New Roman" w:hAnsi="Times New Roman" w:cs="Times New Roman"/>
          <w:lang w:val="ru-RU"/>
        </w:rPr>
        <w:t>2022-2023</w:t>
      </w:r>
      <w:proofErr w:type="gramEnd"/>
      <w:r w:rsidRPr="009406DD">
        <w:rPr>
          <w:rFonts w:ascii="Times New Roman" w:hAnsi="Times New Roman" w:cs="Times New Roman"/>
          <w:lang w:val="ru-RU"/>
        </w:rPr>
        <w:t xml:space="preserve"> уч. год</w:t>
      </w:r>
    </w:p>
    <w:p w14:paraId="37618849" w14:textId="4D003824" w:rsidR="009406DD" w:rsidRPr="009406DD" w:rsidRDefault="009406DD" w:rsidP="009406DD">
      <w:pPr>
        <w:pStyle w:val="NoSpacing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 xml:space="preserve">ОП </w:t>
      </w:r>
      <w:r w:rsidRPr="009406DD">
        <w:rPr>
          <w:rFonts w:ascii="Times New Roman" w:hAnsi="Times New Roman" w:cs="Times New Roman"/>
          <w:lang w:val="ru-RU"/>
        </w:rPr>
        <w:t xml:space="preserve"> «</w:t>
      </w:r>
      <w:proofErr w:type="gramEnd"/>
      <w:r w:rsidRPr="009406DD">
        <w:rPr>
          <w:rFonts w:ascii="Times New Roman" w:hAnsi="Times New Roman" w:cs="Times New Roman"/>
          <w:lang w:val="ru-RU"/>
        </w:rPr>
        <w:t>7M03108-Конфликтология »</w:t>
      </w:r>
    </w:p>
    <w:p w14:paraId="33B62925" w14:textId="3D4A2337" w:rsidR="009406DD" w:rsidRPr="009406DD" w:rsidRDefault="009406DD" w:rsidP="009406DD">
      <w:pPr>
        <w:pStyle w:val="NoSpacing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Дис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9406DD">
        <w:rPr>
          <w:rFonts w:ascii="Times New Roman" w:hAnsi="Times New Roman" w:cs="Times New Roman"/>
          <w:lang w:val="ru-RU"/>
        </w:rPr>
        <w:t>«</w:t>
      </w:r>
      <w:proofErr w:type="gramEnd"/>
      <w:r w:rsidRPr="009406DD">
        <w:rPr>
          <w:rFonts w:ascii="Times New Roman" w:hAnsi="Times New Roman" w:cs="Times New Roman"/>
          <w:lang w:val="ru-RU"/>
        </w:rPr>
        <w:t>Конфликтогенные факторы в центрально-азиатской практике»</w:t>
      </w:r>
      <w:r w:rsidRPr="009406DD">
        <w:rPr>
          <w:rFonts w:ascii="Times New Roman" w:hAnsi="Times New Roman" w:cs="Times New Roman"/>
          <w:lang w:val="ru-RU"/>
        </w:rPr>
        <w:tab/>
      </w:r>
    </w:p>
    <w:p w14:paraId="0B804A34" w14:textId="4612DEE2" w:rsidR="009406DD" w:rsidRPr="00EF60D3" w:rsidRDefault="009406DD" w:rsidP="009406DD">
      <w:pPr>
        <w:pStyle w:val="NoSpacing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406DD" w14:paraId="7B2D32A5" w14:textId="77777777" w:rsidTr="00910EE6">
        <w:tc>
          <w:tcPr>
            <w:tcW w:w="971" w:type="dxa"/>
          </w:tcPr>
          <w:p w14:paraId="46B6F1C6" w14:textId="77777777" w:rsidR="009406DD" w:rsidRPr="003A4E0C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3661CBB" w14:textId="77777777" w:rsidR="009406DD" w:rsidRPr="003A4E0C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F69300A" w14:textId="77777777" w:rsidR="009406DD" w:rsidRPr="003A4E0C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164BE14" w14:textId="77777777" w:rsidR="009406DD" w:rsidRPr="003A4E0C" w:rsidRDefault="009406DD" w:rsidP="00910EE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40DD0C49" w14:textId="77777777" w:rsidR="009406DD" w:rsidRPr="003A4E0C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406DD" w14:paraId="37D87DB2" w14:textId="77777777" w:rsidTr="00910EE6">
        <w:tc>
          <w:tcPr>
            <w:tcW w:w="971" w:type="dxa"/>
          </w:tcPr>
          <w:p w14:paraId="77811887" w14:textId="77777777" w:rsidR="009406DD" w:rsidRPr="00BB32DC" w:rsidRDefault="009406DD" w:rsidP="00910E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24505832"/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2B9F95A" w14:textId="476BC277" w:rsidR="009406DD" w:rsidRDefault="009406DD" w:rsidP="00940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1 – тест </w:t>
            </w:r>
            <w:r>
              <w:rPr>
                <w:b/>
                <w:sz w:val="20"/>
                <w:szCs w:val="20"/>
              </w:rPr>
              <w:t xml:space="preserve">множественного выбора и краткое объяснение выбора (200 слов минимум) </w:t>
            </w:r>
          </w:p>
          <w:p w14:paraId="5926E738" w14:textId="77777777" w:rsidR="009406DD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Тематика тестовых вопросов: </w:t>
            </w:r>
          </w:p>
          <w:p w14:paraId="72A76893" w14:textId="29A2C6EC" w:rsidR="009406DD" w:rsidRPr="009406DD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406DD">
              <w:rPr>
                <w:bCs/>
                <w:sz w:val="20"/>
                <w:szCs w:val="20"/>
              </w:rPr>
              <w:t>Понятие «конфликта»; политологические и социологические аспекты</w:t>
            </w:r>
            <w:r>
              <w:rPr>
                <w:bCs/>
                <w:sz w:val="20"/>
                <w:szCs w:val="20"/>
              </w:rPr>
              <w:t>;</w:t>
            </w:r>
          </w:p>
          <w:p w14:paraId="5B602A40" w14:textId="36B03969" w:rsidR="009406DD" w:rsidRPr="009406DD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406DD">
              <w:rPr>
                <w:bCs/>
                <w:sz w:val="20"/>
                <w:szCs w:val="20"/>
              </w:rPr>
              <w:t>Понятие «конфликта»; международно-правовые аспекты</w:t>
            </w:r>
            <w:r>
              <w:rPr>
                <w:bCs/>
                <w:sz w:val="20"/>
                <w:szCs w:val="20"/>
              </w:rPr>
              <w:t>;</w:t>
            </w:r>
          </w:p>
          <w:p w14:paraId="5AC827CB" w14:textId="40252542" w:rsidR="009406DD" w:rsidRPr="009406DD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406DD">
              <w:rPr>
                <w:bCs/>
                <w:sz w:val="20"/>
                <w:szCs w:val="20"/>
              </w:rPr>
              <w:t>Понятие «региона»</w:t>
            </w:r>
            <w:r>
              <w:rPr>
                <w:bCs/>
                <w:sz w:val="20"/>
                <w:szCs w:val="20"/>
              </w:rPr>
              <w:t>;</w:t>
            </w:r>
          </w:p>
          <w:p w14:paraId="5AED96EC" w14:textId="5FD6DF49" w:rsidR="009406DD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Понятие </w:t>
            </w:r>
            <w:r w:rsidRPr="009406DD">
              <w:rPr>
                <w:bCs/>
                <w:sz w:val="20"/>
                <w:szCs w:val="20"/>
              </w:rPr>
              <w:t>«Средн</w:t>
            </w:r>
            <w:r>
              <w:rPr>
                <w:bCs/>
                <w:sz w:val="20"/>
                <w:szCs w:val="20"/>
              </w:rPr>
              <w:t>яя</w:t>
            </w:r>
            <w:r w:rsidRPr="009406DD">
              <w:rPr>
                <w:bCs/>
                <w:sz w:val="20"/>
                <w:szCs w:val="20"/>
              </w:rPr>
              <w:t xml:space="preserve"> Ази</w:t>
            </w:r>
            <w:r>
              <w:rPr>
                <w:bCs/>
                <w:sz w:val="20"/>
                <w:szCs w:val="20"/>
              </w:rPr>
              <w:t>я</w:t>
            </w:r>
            <w:r w:rsidRPr="009406DD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;</w:t>
            </w:r>
          </w:p>
          <w:p w14:paraId="2E96F0ED" w14:textId="4F98BFF4" w:rsidR="009406DD" w:rsidRPr="009406DD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Понятие </w:t>
            </w:r>
            <w:r w:rsidRPr="009406DD">
              <w:rPr>
                <w:bCs/>
                <w:sz w:val="20"/>
                <w:szCs w:val="20"/>
              </w:rPr>
              <w:t>«Центральн</w:t>
            </w:r>
            <w:r>
              <w:rPr>
                <w:bCs/>
                <w:sz w:val="20"/>
                <w:szCs w:val="20"/>
              </w:rPr>
              <w:t>ая</w:t>
            </w:r>
            <w:r w:rsidRPr="009406DD">
              <w:rPr>
                <w:bCs/>
                <w:sz w:val="20"/>
                <w:szCs w:val="20"/>
              </w:rPr>
              <w:t xml:space="preserve"> Ази</w:t>
            </w:r>
            <w:r>
              <w:rPr>
                <w:bCs/>
                <w:sz w:val="20"/>
                <w:szCs w:val="20"/>
              </w:rPr>
              <w:t>я</w:t>
            </w:r>
            <w:r w:rsidRPr="009406DD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FA56D91" w14:textId="77777777" w:rsidR="009406DD" w:rsidRPr="006422ED" w:rsidRDefault="009406DD" w:rsidP="00910E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86939BB" w14:textId="77777777" w:rsidR="009406DD" w:rsidRPr="006422ED" w:rsidRDefault="009406DD" w:rsidP="00910E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06DD" w14:paraId="03834E82" w14:textId="77777777" w:rsidTr="00910EE6">
        <w:tc>
          <w:tcPr>
            <w:tcW w:w="971" w:type="dxa"/>
          </w:tcPr>
          <w:p w14:paraId="6262E901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09CC649" w14:textId="24421B28" w:rsidR="009406DD" w:rsidRDefault="009406DD" w:rsidP="00910E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</w:t>
            </w:r>
            <w:proofErr w:type="gramStart"/>
            <w:r>
              <w:rPr>
                <w:b/>
                <w:sz w:val="20"/>
                <w:szCs w:val="20"/>
              </w:rPr>
              <w:t>2  -</w:t>
            </w:r>
            <w:proofErr w:type="gramEnd"/>
            <w:r>
              <w:rPr>
                <w:b/>
                <w:sz w:val="20"/>
                <w:szCs w:val="20"/>
              </w:rPr>
              <w:t xml:space="preserve"> тест </w:t>
            </w:r>
            <w:r w:rsidRPr="009406DD">
              <w:rPr>
                <w:b/>
                <w:sz w:val="20"/>
                <w:szCs w:val="20"/>
              </w:rPr>
              <w:t>множественного выбора и краткое объяснение выбора (200 слов минимум)</w:t>
            </w:r>
          </w:p>
          <w:p w14:paraId="598A29EC" w14:textId="6C834AA4" w:rsidR="009406DD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Тематика тестовых вопросов:</w:t>
            </w:r>
          </w:p>
          <w:p w14:paraId="0791C606" w14:textId="67471248" w:rsidR="009406DD" w:rsidRPr="00A16D78" w:rsidRDefault="009406DD" w:rsidP="009406D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406DD">
              <w:rPr>
                <w:bCs/>
                <w:sz w:val="20"/>
                <w:szCs w:val="20"/>
              </w:rPr>
              <w:t>Конфликтогенные факторы в отношениях между государствами ЦА; границы и диаспоры</w:t>
            </w:r>
            <w:r w:rsidR="00A16D78">
              <w:rPr>
                <w:bCs/>
                <w:sz w:val="20"/>
                <w:szCs w:val="20"/>
              </w:rPr>
              <w:t xml:space="preserve">, </w:t>
            </w:r>
            <w:r w:rsidRPr="009406DD">
              <w:rPr>
                <w:bCs/>
                <w:sz w:val="20"/>
                <w:szCs w:val="20"/>
              </w:rPr>
              <w:t xml:space="preserve">водные ресурсы, энергетика и инвестиции </w:t>
            </w:r>
          </w:p>
        </w:tc>
        <w:tc>
          <w:tcPr>
            <w:tcW w:w="850" w:type="dxa"/>
          </w:tcPr>
          <w:p w14:paraId="7E6694EA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6BD2D0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9406DD" w14:paraId="692E6404" w14:textId="77777777" w:rsidTr="00910EE6">
        <w:tc>
          <w:tcPr>
            <w:tcW w:w="971" w:type="dxa"/>
          </w:tcPr>
          <w:p w14:paraId="117AFD9D" w14:textId="77777777" w:rsidR="009406DD" w:rsidRPr="006422ED" w:rsidRDefault="009406DD" w:rsidP="00910E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6603ABD" w14:textId="4C097C13" w:rsidR="009406DD" w:rsidRDefault="009406DD" w:rsidP="00910E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3 </w:t>
            </w:r>
            <w:r w:rsidRPr="00640FB6">
              <w:rPr>
                <w:bCs/>
                <w:sz w:val="20"/>
                <w:szCs w:val="20"/>
              </w:rPr>
              <w:t xml:space="preserve">Стабильность государств ЦАЖ вызовы и </w:t>
            </w:r>
            <w:proofErr w:type="gramStart"/>
            <w:r w:rsidRPr="00640FB6">
              <w:rPr>
                <w:bCs/>
                <w:sz w:val="20"/>
                <w:szCs w:val="20"/>
              </w:rPr>
              <w:t>перспективы  -</w:t>
            </w:r>
            <w:proofErr w:type="gramEnd"/>
            <w:r w:rsidRPr="00640FB6">
              <w:rPr>
                <w:bCs/>
                <w:sz w:val="20"/>
                <w:szCs w:val="20"/>
              </w:rPr>
              <w:t xml:space="preserve"> конференци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14:paraId="24BA422C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8895FD6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9406DD" w14:paraId="4B787F2E" w14:textId="77777777" w:rsidTr="00910EE6">
        <w:tc>
          <w:tcPr>
            <w:tcW w:w="971" w:type="dxa"/>
          </w:tcPr>
          <w:p w14:paraId="4A3E9915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83936B" w14:textId="77777777" w:rsidR="009406DD" w:rsidRDefault="009406DD" w:rsidP="00910E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4 </w:t>
            </w:r>
            <w:r w:rsidRPr="00B27F81">
              <w:rPr>
                <w:bCs/>
                <w:sz w:val="20"/>
                <w:szCs w:val="20"/>
              </w:rPr>
              <w:t xml:space="preserve">Конфликтогенные факторы в </w:t>
            </w:r>
            <w:proofErr w:type="gramStart"/>
            <w:r w:rsidRPr="00B27F81">
              <w:rPr>
                <w:bCs/>
                <w:sz w:val="20"/>
                <w:szCs w:val="20"/>
              </w:rPr>
              <w:t>центрально-азиатской</w:t>
            </w:r>
            <w:proofErr w:type="gramEnd"/>
            <w:r w:rsidRPr="00B27F81">
              <w:rPr>
                <w:bCs/>
                <w:sz w:val="20"/>
                <w:szCs w:val="20"/>
              </w:rPr>
              <w:t xml:space="preserve"> практике – конференция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8BB5313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56EECA0" w14:textId="77777777" w:rsidR="009406DD" w:rsidRDefault="009406DD" w:rsidP="00910E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bookmarkEnd w:id="0"/>
    </w:tbl>
    <w:p w14:paraId="0BD36F06" w14:textId="7797AFF4" w:rsidR="009406DD" w:rsidRDefault="009406DD" w:rsidP="009406DD">
      <w:pPr>
        <w:tabs>
          <w:tab w:val="left" w:pos="1276"/>
        </w:tabs>
        <w:jc w:val="both"/>
        <w:rPr>
          <w:bCs/>
          <w:sz w:val="20"/>
          <w:szCs w:val="20"/>
        </w:rPr>
      </w:pPr>
    </w:p>
    <w:p w14:paraId="11460D84" w14:textId="77777777" w:rsidR="00A16D78" w:rsidRDefault="00A16D78" w:rsidP="009406DD">
      <w:pPr>
        <w:tabs>
          <w:tab w:val="left" w:pos="1276"/>
        </w:tabs>
        <w:jc w:val="both"/>
        <w:rPr>
          <w:bCs/>
          <w:sz w:val="20"/>
          <w:szCs w:val="20"/>
        </w:rPr>
      </w:pPr>
    </w:p>
    <w:p w14:paraId="7E2FD372" w14:textId="7BBA0911" w:rsidR="00A16D78" w:rsidRPr="00A16D78" w:rsidRDefault="00A16D78" w:rsidP="00A16D78">
      <w:pPr>
        <w:tabs>
          <w:tab w:val="left" w:pos="1276"/>
        </w:tabs>
        <w:jc w:val="both"/>
        <w:rPr>
          <w:bCs/>
          <w:caps/>
          <w:sz w:val="20"/>
          <w:szCs w:val="20"/>
        </w:rPr>
      </w:pPr>
      <w:r w:rsidRPr="00A16D78">
        <w:rPr>
          <w:bCs/>
          <w:caps/>
          <w:sz w:val="20"/>
          <w:szCs w:val="20"/>
        </w:rPr>
        <w:t xml:space="preserve">Как </w:t>
      </w:r>
      <w:r w:rsidR="004275F0" w:rsidRPr="00A16D78">
        <w:rPr>
          <w:bCs/>
          <w:caps/>
          <w:sz w:val="20"/>
          <w:szCs w:val="20"/>
        </w:rPr>
        <w:t>ГОТОВИТЬСЯ</w:t>
      </w:r>
      <w:r w:rsidRPr="00A16D78">
        <w:rPr>
          <w:bCs/>
          <w:caps/>
          <w:sz w:val="20"/>
          <w:szCs w:val="20"/>
        </w:rPr>
        <w:t xml:space="preserve"> и провести конференцию</w:t>
      </w:r>
    </w:p>
    <w:p w14:paraId="5B3A9444" w14:textId="77777777" w:rsid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</w:p>
    <w:p w14:paraId="05702DE1" w14:textId="25C6EB38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ПРЕДВАРИТЕЛЬНЫЕ МЕРОПРИЯТИЯ</w:t>
      </w:r>
    </w:p>
    <w:p w14:paraId="092E7780" w14:textId="53481AD4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 xml:space="preserve">1) ПОДГОТОВКА </w:t>
      </w:r>
      <w:r>
        <w:rPr>
          <w:bCs/>
          <w:sz w:val="20"/>
          <w:szCs w:val="20"/>
        </w:rPr>
        <w:t xml:space="preserve">ТЕЗИСОВ </w:t>
      </w:r>
      <w:r w:rsidRPr="00A16D78">
        <w:rPr>
          <w:bCs/>
          <w:sz w:val="20"/>
          <w:szCs w:val="20"/>
        </w:rPr>
        <w:t>ВАШЕГО ДОКЛАДА – когда вы найдете объявление об интересующей вас конференции, нужно сначала подумать, как вы могли бы внести свой вклад, о чем вы могли бы рассказать, что было бы интересно вашим коллегам. Таким образом, при подаче заявки на участие (а это вопрос отбора) вы должны прислать тезисы своего</w:t>
      </w:r>
      <w:r>
        <w:rPr>
          <w:bCs/>
          <w:sz w:val="20"/>
          <w:szCs w:val="20"/>
        </w:rPr>
        <w:t xml:space="preserve"> доклада</w:t>
      </w:r>
      <w:r w:rsidRPr="00A16D78">
        <w:rPr>
          <w:bCs/>
          <w:sz w:val="20"/>
          <w:szCs w:val="20"/>
        </w:rPr>
        <w:t>. Обычно, на конференциях научного характера,</w:t>
      </w:r>
      <w:r>
        <w:rPr>
          <w:bCs/>
          <w:sz w:val="20"/>
          <w:szCs w:val="20"/>
        </w:rPr>
        <w:t xml:space="preserve"> в докладах</w:t>
      </w:r>
      <w:r w:rsidRPr="00A16D78">
        <w:rPr>
          <w:bCs/>
          <w:sz w:val="20"/>
          <w:szCs w:val="20"/>
        </w:rPr>
        <w:t>: 1) выдвигают тезис и приводят доводы в его пользу, 2) ставят вопрос(ы) и проблематизируют некоторые аспекты, 3) говорят о недавнем/ текущее/ планируемо</w:t>
      </w:r>
      <w:r>
        <w:rPr>
          <w:bCs/>
          <w:sz w:val="20"/>
          <w:szCs w:val="20"/>
        </w:rPr>
        <w:t>м</w:t>
      </w:r>
      <w:r w:rsidRPr="00A16D78">
        <w:rPr>
          <w:bCs/>
          <w:sz w:val="20"/>
          <w:szCs w:val="20"/>
        </w:rPr>
        <w:t xml:space="preserve"> исследовани</w:t>
      </w:r>
      <w:r>
        <w:rPr>
          <w:bCs/>
          <w:sz w:val="20"/>
          <w:szCs w:val="20"/>
        </w:rPr>
        <w:t>и</w:t>
      </w:r>
      <w:r w:rsidRPr="00A16D78">
        <w:rPr>
          <w:bCs/>
          <w:sz w:val="20"/>
          <w:szCs w:val="20"/>
        </w:rPr>
        <w:t xml:space="preserve">. Ваш тезис </w:t>
      </w:r>
      <w:r>
        <w:rPr>
          <w:bCs/>
          <w:sz w:val="20"/>
          <w:szCs w:val="20"/>
        </w:rPr>
        <w:t xml:space="preserve">(абстракт) </w:t>
      </w:r>
      <w:r w:rsidRPr="00A16D78">
        <w:rPr>
          <w:bCs/>
          <w:sz w:val="20"/>
          <w:szCs w:val="20"/>
        </w:rPr>
        <w:t>должен быть не более 300 слов и подан за четыре дня до конференции (в понедельник).</w:t>
      </w:r>
    </w:p>
    <w:p w14:paraId="56AB18C7" w14:textId="701F4EE8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2) РЕШЕНИЕ О ПОСЛЕДОВАТЕЛЬНОСТИ</w:t>
      </w:r>
      <w:r>
        <w:rPr>
          <w:bCs/>
          <w:sz w:val="20"/>
          <w:szCs w:val="20"/>
        </w:rPr>
        <w:t xml:space="preserve"> ВЫСТУПЛЕНИЙ (ДОКЛАДОВ)</w:t>
      </w:r>
      <w:r w:rsidRPr="00A16D78">
        <w:rPr>
          <w:bCs/>
          <w:sz w:val="20"/>
          <w:szCs w:val="20"/>
        </w:rPr>
        <w:t xml:space="preserve">– все студенты группы обязаны выступить в роли оргкомитета предстоящей конференции. Таким образом, после ознакомления со всеми представленными тезисами </w:t>
      </w:r>
      <w:r>
        <w:rPr>
          <w:bCs/>
          <w:sz w:val="20"/>
          <w:szCs w:val="20"/>
        </w:rPr>
        <w:t xml:space="preserve">(абстрактами) </w:t>
      </w:r>
      <w:r w:rsidRPr="00A16D78">
        <w:rPr>
          <w:bCs/>
          <w:sz w:val="20"/>
          <w:szCs w:val="20"/>
        </w:rPr>
        <w:t>вы должны коллективно решить, в какой очереди будут выступать спикеры на конференции. Последовательность должна отражать некоторую логику и последовательность и облегчать работу модератора.</w:t>
      </w:r>
    </w:p>
    <w:p w14:paraId="7CE27BBB" w14:textId="5287B41E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 xml:space="preserve">3) НАЗНАЧЕНИЕ МОДЕРАТОРА – вы сами выбираете модератора. Модератор откроет конференцию, кратко расскажет об актуальности темы конференции и по очереди представит спикеров. Хороший модератор дает комментарии до и после каждого выступления, которые связывают их все вместе в своего рода логическую и концептуальную последовательность (ваше предварительное обсуждение последовательности выступлений, см. выше, должно помочь). Модератор должен придерживаться расписания и следить за соблюдением спикерами </w:t>
      </w:r>
      <w:r>
        <w:rPr>
          <w:bCs/>
          <w:sz w:val="20"/>
          <w:szCs w:val="20"/>
        </w:rPr>
        <w:t>регламента</w:t>
      </w:r>
      <w:r w:rsidRPr="00A16D78">
        <w:rPr>
          <w:bCs/>
          <w:sz w:val="20"/>
          <w:szCs w:val="20"/>
        </w:rPr>
        <w:t xml:space="preserve">. </w:t>
      </w:r>
    </w:p>
    <w:p w14:paraId="17B1B54A" w14:textId="4F3DCA91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4) ПОДГОТОВКА ПРОГРАММЫ КОНФЕРЕНЦИИ – ПРОГРАММА КОНФЕРЕНЦИИ должна содержать следующее: 1) дату, время и место проведения конференции, 2) расписание конференции, 3) вступительный текст, содержащий предысторию и обоснование проведения конференции по данной теме, 4) краткие сведения обо всех участниках и их тезисы, 3) информация о дополнительных мероприятиях, т. е. о продаже книг, раздаче книг, , приемах, экскурсиях и т. д. ПРОГРАММА КОНФЕРЕНЦИИ должна быть распечатана заранее и распространена среди участники.</w:t>
      </w:r>
    </w:p>
    <w:p w14:paraId="17849135" w14:textId="77777777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5) БАННЕР – часто полезно отображать информацию о конференции на большом экране или баннере.</w:t>
      </w:r>
    </w:p>
    <w:p w14:paraId="53C35001" w14:textId="77777777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</w:p>
    <w:p w14:paraId="06E12795" w14:textId="38A10C41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ПРОВЕДЕНИЕ КОНФЕРЕНЦИИ – конференция должна начаться вовремя и по расписанию</w:t>
      </w:r>
      <w:r w:rsidR="004275F0">
        <w:rPr>
          <w:bCs/>
          <w:sz w:val="20"/>
          <w:szCs w:val="20"/>
        </w:rPr>
        <w:t xml:space="preserve"> и </w:t>
      </w:r>
      <w:r w:rsidR="004275F0" w:rsidRPr="00A16D78">
        <w:rPr>
          <w:bCs/>
          <w:sz w:val="20"/>
          <w:szCs w:val="20"/>
        </w:rPr>
        <w:t>включать</w:t>
      </w:r>
      <w:r w:rsidRPr="00A16D78">
        <w:rPr>
          <w:bCs/>
          <w:sz w:val="20"/>
          <w:szCs w:val="20"/>
        </w:rPr>
        <w:t>:</w:t>
      </w:r>
    </w:p>
    <w:p w14:paraId="06B84437" w14:textId="310ACEA2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1) краткое вступительное слово модератора (часто выступает приглашенный высокопоставленный</w:t>
      </w:r>
      <w:r w:rsidR="004275F0">
        <w:rPr>
          <w:bCs/>
          <w:sz w:val="20"/>
          <w:szCs w:val="20"/>
        </w:rPr>
        <w:t xml:space="preserve"> гость (в нашем случае преподаватель)</w:t>
      </w:r>
      <w:r w:rsidRPr="00A16D78">
        <w:rPr>
          <w:bCs/>
          <w:sz w:val="20"/>
          <w:szCs w:val="20"/>
        </w:rPr>
        <w:t>, который предоставляет слово модератору);</w:t>
      </w:r>
    </w:p>
    <w:p w14:paraId="661DB796" w14:textId="777A1BDD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2)</w:t>
      </w:r>
      <w:r w:rsidR="004275F0">
        <w:rPr>
          <w:bCs/>
          <w:sz w:val="20"/>
          <w:szCs w:val="20"/>
        </w:rPr>
        <w:t xml:space="preserve"> Выступления докладчиков</w:t>
      </w:r>
      <w:r w:rsidRPr="00A16D78">
        <w:rPr>
          <w:bCs/>
          <w:sz w:val="20"/>
          <w:szCs w:val="20"/>
        </w:rPr>
        <w:t>;</w:t>
      </w:r>
    </w:p>
    <w:p w14:paraId="1D18EBE2" w14:textId="500D95B4" w:rsidR="00A16D78" w:rsidRP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 xml:space="preserve">3) </w:t>
      </w:r>
      <w:r w:rsidR="004275F0">
        <w:rPr>
          <w:bCs/>
          <w:sz w:val="20"/>
          <w:szCs w:val="20"/>
        </w:rPr>
        <w:t xml:space="preserve">Вопросы </w:t>
      </w:r>
      <w:r w:rsidRPr="00A16D78">
        <w:rPr>
          <w:bCs/>
          <w:sz w:val="20"/>
          <w:szCs w:val="20"/>
        </w:rPr>
        <w:t>и обсуждение;</w:t>
      </w:r>
    </w:p>
    <w:p w14:paraId="3FF7E776" w14:textId="601DF047" w:rsidR="00A16D78" w:rsidRDefault="00A16D78" w:rsidP="00A16D78">
      <w:pPr>
        <w:tabs>
          <w:tab w:val="left" w:pos="1276"/>
        </w:tabs>
        <w:jc w:val="both"/>
        <w:rPr>
          <w:bCs/>
          <w:sz w:val="20"/>
          <w:szCs w:val="20"/>
        </w:rPr>
      </w:pPr>
      <w:r w:rsidRPr="00A16D78">
        <w:rPr>
          <w:bCs/>
          <w:sz w:val="20"/>
          <w:szCs w:val="20"/>
        </w:rPr>
        <w:t>4) Заключительное слово модератора (иногда групповое фото).</w:t>
      </w:r>
    </w:p>
    <w:p w14:paraId="215E1FF6" w14:textId="32FCE707" w:rsidR="004275F0" w:rsidRDefault="004275F0" w:rsidP="009406DD">
      <w:pPr>
        <w:tabs>
          <w:tab w:val="left" w:pos="1276"/>
        </w:tabs>
        <w:jc w:val="both"/>
        <w:rPr>
          <w:bCs/>
          <w:sz w:val="20"/>
          <w:szCs w:val="20"/>
        </w:rPr>
      </w:pPr>
    </w:p>
    <w:p w14:paraId="6166B254" w14:textId="77777777" w:rsidR="004275F0" w:rsidRPr="004275F0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 xml:space="preserve">КРИТЕРИИ ОЦЕНКИ </w:t>
      </w:r>
    </w:p>
    <w:p w14:paraId="3BD432B5" w14:textId="77777777" w:rsidR="004275F0" w:rsidRPr="004275F0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>- глубокий анализ и понимание материала;</w:t>
      </w:r>
    </w:p>
    <w:p w14:paraId="56AA1CB3" w14:textId="77777777" w:rsidR="004275F0" w:rsidRPr="004275F0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>- начитанность по теме;</w:t>
      </w:r>
    </w:p>
    <w:p w14:paraId="571BDBCA" w14:textId="77777777" w:rsidR="004275F0" w:rsidRPr="004275F0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>- четкость, убедительность и оригинальность аргументов;</w:t>
      </w:r>
    </w:p>
    <w:p w14:paraId="62CBA946" w14:textId="77777777" w:rsidR="004275F0" w:rsidRPr="004275F0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>- структура и организация;</w:t>
      </w:r>
    </w:p>
    <w:p w14:paraId="3A29DAEA" w14:textId="6F1E0E5F" w:rsidR="004275F0" w:rsidRPr="004275F0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 xml:space="preserve">- качество визуализации </w:t>
      </w:r>
      <w:r>
        <w:rPr>
          <w:bCs/>
          <w:sz w:val="20"/>
          <w:szCs w:val="20"/>
        </w:rPr>
        <w:t xml:space="preserve">(если есть РРР) </w:t>
      </w:r>
      <w:r w:rsidRPr="004275F0">
        <w:rPr>
          <w:bCs/>
          <w:sz w:val="20"/>
          <w:szCs w:val="20"/>
        </w:rPr>
        <w:t>и академический стиль;</w:t>
      </w:r>
    </w:p>
    <w:p w14:paraId="72C01FD7" w14:textId="77777777" w:rsidR="004275F0" w:rsidRPr="004275F0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>- отсутствие фактологических ошибок и логических несоответствий;</w:t>
      </w:r>
    </w:p>
    <w:p w14:paraId="2B37B609" w14:textId="4F927D55" w:rsidR="004275F0" w:rsidRPr="006D5EDD" w:rsidRDefault="004275F0" w:rsidP="004275F0">
      <w:pPr>
        <w:tabs>
          <w:tab w:val="left" w:pos="1276"/>
        </w:tabs>
        <w:jc w:val="both"/>
        <w:rPr>
          <w:bCs/>
          <w:sz w:val="20"/>
          <w:szCs w:val="20"/>
        </w:rPr>
      </w:pPr>
      <w:r w:rsidRPr="004275F0">
        <w:rPr>
          <w:bCs/>
          <w:sz w:val="20"/>
          <w:szCs w:val="20"/>
        </w:rPr>
        <w:t>- фактически верные, полные и корректные ответы на вопросы.</w:t>
      </w:r>
    </w:p>
    <w:p w14:paraId="5CE1AAE3" w14:textId="77777777" w:rsidR="004275F0" w:rsidRDefault="004275F0" w:rsidP="009406DD">
      <w:pPr>
        <w:pStyle w:val="NoSpacing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69FAE72" w14:textId="6F1A3EA1" w:rsidR="009406DD" w:rsidRPr="00E92F17" w:rsidRDefault="009406DD" w:rsidP="009406DD">
      <w:pPr>
        <w:pStyle w:val="NoSpacing"/>
        <w:rPr>
          <w:rFonts w:ascii="Times New Roman" w:hAnsi="Times New Roman" w:cs="Times New Roman"/>
          <w:sz w:val="20"/>
          <w:szCs w:val="20"/>
          <w:lang w:val="ru-RU"/>
        </w:rPr>
      </w:pPr>
      <w:r w:rsidRPr="009406DD">
        <w:rPr>
          <w:rFonts w:ascii="Times New Roman" w:hAnsi="Times New Roman" w:cs="Times New Roman"/>
          <w:b/>
          <w:bCs/>
          <w:sz w:val="20"/>
          <w:szCs w:val="20"/>
          <w:lang w:val="ru-RU"/>
        </w:rPr>
        <w:t>Список литературы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Pr="009406DD">
        <w:rPr>
          <w:rFonts w:ascii="Times New Roman" w:hAnsi="Times New Roman" w:cs="Times New Roman"/>
          <w:sz w:val="20"/>
          <w:szCs w:val="20"/>
          <w:lang w:val="ru-RU"/>
        </w:rPr>
        <w:t>см. УМКД «Дополнительные материалы»):</w:t>
      </w:r>
    </w:p>
    <w:p w14:paraId="674C3426" w14:textId="77777777" w:rsidR="009406DD" w:rsidRPr="00D72992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Hlk125558409"/>
      <w:r w:rsidRPr="00D72992">
        <w:rPr>
          <w:color w:val="000000"/>
          <w:sz w:val="20"/>
          <w:szCs w:val="20"/>
        </w:rPr>
        <w:t xml:space="preserve">О Концепции внешней политики Республики Казахстан на </w:t>
      </w:r>
      <w:proofErr w:type="gramStart"/>
      <w:r w:rsidRPr="00D72992">
        <w:rPr>
          <w:color w:val="000000"/>
          <w:sz w:val="20"/>
          <w:szCs w:val="20"/>
        </w:rPr>
        <w:t>2020 – 2030</w:t>
      </w:r>
      <w:proofErr w:type="gramEnd"/>
      <w:r w:rsidRPr="00D72992">
        <w:rPr>
          <w:color w:val="000000"/>
          <w:sz w:val="20"/>
          <w:szCs w:val="20"/>
        </w:rPr>
        <w:t xml:space="preserve"> годы</w:t>
      </w:r>
      <w:r>
        <w:rPr>
          <w:color w:val="000000"/>
          <w:sz w:val="20"/>
          <w:szCs w:val="20"/>
        </w:rPr>
        <w:t xml:space="preserve">. </w:t>
      </w:r>
      <w:r w:rsidRPr="00D72992">
        <w:rPr>
          <w:color w:val="000000"/>
          <w:sz w:val="20"/>
          <w:szCs w:val="20"/>
        </w:rPr>
        <w:t>9 марта 2020 года</w:t>
      </w:r>
      <w:r>
        <w:rPr>
          <w:color w:val="000000"/>
          <w:sz w:val="20"/>
          <w:szCs w:val="20"/>
        </w:rPr>
        <w:t>//</w:t>
      </w:r>
      <w:r>
        <w:t xml:space="preserve"> </w:t>
      </w:r>
      <w:hyperlink r:id="rId5" w:history="1">
        <w:r w:rsidRPr="00CA30CC">
          <w:rPr>
            <w:rStyle w:val="Hyperlink"/>
            <w:sz w:val="20"/>
            <w:szCs w:val="20"/>
          </w:rPr>
          <w:t>https://www.akorda.kz/ru/legal_acts/decrees/o-koncepcii-vneshnei-politiki-respubliki-kazahstan-na-2020-2030-gody</w:t>
        </w:r>
      </w:hyperlink>
      <w:r>
        <w:rPr>
          <w:color w:val="000000"/>
          <w:sz w:val="20"/>
          <w:szCs w:val="20"/>
        </w:rPr>
        <w:t xml:space="preserve"> </w:t>
      </w:r>
    </w:p>
    <w:bookmarkEnd w:id="1"/>
    <w:p w14:paraId="7179958E" w14:textId="77777777" w:rsidR="009406DD" w:rsidRPr="00F53614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F53614">
        <w:rPr>
          <w:color w:val="000000"/>
          <w:sz w:val="20"/>
          <w:szCs w:val="20"/>
        </w:rPr>
        <w:t>Назарбаев, Н. А. (2017). Взгляд в будущее: модернизация общественного сознания. Казахстанская правда, 13(71), 1.</w:t>
      </w:r>
    </w:p>
    <w:p w14:paraId="606B5D2C" w14:textId="77777777" w:rsidR="009406DD" w:rsidRPr="00F53614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F53614">
        <w:rPr>
          <w:color w:val="000000"/>
          <w:sz w:val="20"/>
          <w:szCs w:val="20"/>
        </w:rPr>
        <w:t xml:space="preserve">Назарбаев, Н. А. (2007). Новый Казахстан в новом мире. Казахстанская правда, 1(33), 1. Назарбаев, Н. А. (2011). Евразийский Союз: от идеи к истории будущего. Евразийская интеграция: экономика, право, политика, (10), </w:t>
      </w:r>
      <w:proofErr w:type="gramStart"/>
      <w:r w:rsidRPr="00F53614">
        <w:rPr>
          <w:color w:val="000000"/>
          <w:sz w:val="20"/>
          <w:szCs w:val="20"/>
        </w:rPr>
        <w:t>19-28</w:t>
      </w:r>
      <w:proofErr w:type="gramEnd"/>
      <w:r w:rsidRPr="00F53614">
        <w:rPr>
          <w:color w:val="000000"/>
          <w:sz w:val="20"/>
          <w:szCs w:val="20"/>
        </w:rPr>
        <w:t>.</w:t>
      </w:r>
    </w:p>
    <w:p w14:paraId="11E2531A" w14:textId="77777777" w:rsidR="009406DD" w:rsidRPr="00F53614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F53614">
        <w:rPr>
          <w:color w:val="000000"/>
          <w:sz w:val="20"/>
          <w:szCs w:val="20"/>
        </w:rPr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F53614">
        <w:rPr>
          <w:color w:val="000000"/>
          <w:sz w:val="20"/>
          <w:szCs w:val="20"/>
        </w:rPr>
        <w:t>Білім</w:t>
      </w:r>
      <w:proofErr w:type="spellEnd"/>
      <w:r w:rsidRPr="00F53614">
        <w:rPr>
          <w:color w:val="000000"/>
          <w:sz w:val="20"/>
          <w:szCs w:val="20"/>
        </w:rPr>
        <w:t>.</w:t>
      </w:r>
    </w:p>
    <w:p w14:paraId="329AD86C" w14:textId="77777777" w:rsidR="009406DD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F53614">
        <w:rPr>
          <w:color w:val="000000"/>
          <w:sz w:val="20"/>
          <w:szCs w:val="20"/>
        </w:rPr>
        <w:t xml:space="preserve">Токаев, К. К. (2000). Внешняя политика Казахстана в условиях глобализации. Алматы: Онер. Токаев, К. К. (2001). Дипломатия Республики Казахстан. Астана: </w:t>
      </w:r>
      <w:proofErr w:type="spellStart"/>
      <w:r w:rsidRPr="00F53614">
        <w:rPr>
          <w:color w:val="000000"/>
          <w:sz w:val="20"/>
          <w:szCs w:val="20"/>
        </w:rPr>
        <w:t>Елорда</w:t>
      </w:r>
      <w:proofErr w:type="spellEnd"/>
      <w:r w:rsidRPr="00F53614">
        <w:rPr>
          <w:color w:val="000000"/>
          <w:sz w:val="20"/>
          <w:szCs w:val="20"/>
        </w:rPr>
        <w:t>, 552, 274.</w:t>
      </w:r>
    </w:p>
    <w:p w14:paraId="796D881D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D39EA">
        <w:rPr>
          <w:color w:val="000000"/>
          <w:sz w:val="20"/>
          <w:szCs w:val="20"/>
        </w:rPr>
        <w:t>КУШКУМБАЕВ С.К. КАЗАХСТАН И ЦЕНТРАЛЬНАЯ АЗИЯ МЕЖДУ ВЫЗОВАМИ ИЗ ПРОШЛОГО И ГРЯДУЩЕГО. СБОРНИК СТАТЕЙ, ВЫСТУПЛЕНИЙ И ИНТЕРВЬЮ. – АСТАНА, 2022. – 372 с.</w:t>
      </w:r>
    </w:p>
    <w:p w14:paraId="7A0BBB6A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 w:rsidRPr="00BD39EA">
        <w:rPr>
          <w:color w:val="000000"/>
          <w:sz w:val="20"/>
          <w:szCs w:val="20"/>
        </w:rPr>
        <w:t>Кушкумбаев</w:t>
      </w:r>
      <w:proofErr w:type="spellEnd"/>
      <w:r w:rsidRPr="00BD39EA">
        <w:rPr>
          <w:color w:val="000000"/>
          <w:sz w:val="20"/>
          <w:szCs w:val="20"/>
        </w:rPr>
        <w:t>, С. (2022). ЦЕНТРАЛЬНОАЗИАТСКИЙ ВЕКТОР ВНЕШНЕЙ ПОЛИТИКИ КАЗАХСТАНА: КУРС НА КООПЕРАЦИЮ И СБЛИЖЕНИЕ. Казахстан-Спектр, 104(4).</w:t>
      </w:r>
    </w:p>
    <w:p w14:paraId="2F21CD84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2" w:name="_Hlk124508434"/>
      <w:proofErr w:type="spellStart"/>
      <w:r w:rsidRPr="00BD39EA">
        <w:rPr>
          <w:color w:val="000000"/>
          <w:sz w:val="20"/>
          <w:szCs w:val="20"/>
        </w:rPr>
        <w:t>Лаумулин</w:t>
      </w:r>
      <w:proofErr w:type="spellEnd"/>
      <w:r w:rsidRPr="00BD39EA">
        <w:rPr>
          <w:color w:val="000000"/>
          <w:sz w:val="20"/>
          <w:szCs w:val="20"/>
        </w:rPr>
        <w:t xml:space="preserve">, М. Т. (2016). К вопросу о формировании постсоветской государственности в Средней (Центральной) Азии. Контуры глобальных трансформаций: политика, экономика, право, 9(5 (49)), </w:t>
      </w:r>
      <w:proofErr w:type="gramStart"/>
      <w:r w:rsidRPr="00BD39EA">
        <w:rPr>
          <w:color w:val="000000"/>
          <w:sz w:val="20"/>
          <w:szCs w:val="20"/>
        </w:rPr>
        <w:t>95-113</w:t>
      </w:r>
      <w:proofErr w:type="gramEnd"/>
      <w:r w:rsidRPr="00BD39EA">
        <w:rPr>
          <w:color w:val="000000"/>
          <w:sz w:val="20"/>
          <w:szCs w:val="20"/>
        </w:rPr>
        <w:t>.</w:t>
      </w:r>
    </w:p>
    <w:p w14:paraId="3ED60C1B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D39EA">
        <w:rPr>
          <w:color w:val="000000"/>
          <w:sz w:val="20"/>
          <w:szCs w:val="20"/>
        </w:rPr>
        <w:t>ЛАУМУЛИН М.Т. БИБЛИОГРАФИЧЕСКИЙ УКАЗАТЕЛЬ ПО ЦЕНТРАЛЬНОЙ АЗИИ, МЕЖДУНАРОДНЫМ ОТНОШЕНИЯМ И ГЕОПОЛИТИКЕ. – НУР-СУЛТАН: КИСИ, 2020. – 588 С.</w:t>
      </w:r>
    </w:p>
    <w:p w14:paraId="349B48C4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3" w:name="_Hlk125557948"/>
      <w:r w:rsidRPr="00BD39EA">
        <w:rPr>
          <w:color w:val="000000"/>
          <w:sz w:val="20"/>
          <w:szCs w:val="20"/>
        </w:rPr>
        <w:t>ЛАУМУЛИН М.Т. ЦЕНТРАЛЬНАЯ АЗИЯ В ЭПОХУ ТРАНСФОРМАЦИИ. – НУР-СУЛТАН: КИСИ ПРИ ПРЕЗИДЕНТЕ РК, 2020. – 464 С.</w:t>
      </w:r>
    </w:p>
    <w:bookmarkEnd w:id="2"/>
    <w:p w14:paraId="444362B1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D39EA">
        <w:rPr>
          <w:color w:val="000000"/>
          <w:sz w:val="20"/>
          <w:szCs w:val="20"/>
        </w:rPr>
        <w:t xml:space="preserve">Мехмет, А. (2022). ВЛИЯНИЕ ПОГРАНИЧНЫХ СПОРОВ НА ВНЕШНЮЮ ПОЛИТИКУ ГОСУДАРСТВ ЦЕНТРАЛЬНОЙ АЗИИ. Постсоветские исследования, 5(3), </w:t>
      </w:r>
      <w:proofErr w:type="gramStart"/>
      <w:r w:rsidRPr="00BD39EA">
        <w:rPr>
          <w:color w:val="000000"/>
          <w:sz w:val="20"/>
          <w:szCs w:val="20"/>
        </w:rPr>
        <w:t>252-256</w:t>
      </w:r>
      <w:proofErr w:type="gramEnd"/>
      <w:r w:rsidRPr="00BD39EA">
        <w:rPr>
          <w:color w:val="000000"/>
          <w:sz w:val="20"/>
          <w:szCs w:val="20"/>
        </w:rPr>
        <w:t>.</w:t>
      </w:r>
    </w:p>
    <w:bookmarkEnd w:id="3"/>
    <w:p w14:paraId="682DF1D2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D39EA">
        <w:rPr>
          <w:color w:val="000000"/>
          <w:sz w:val="20"/>
          <w:szCs w:val="20"/>
        </w:rPr>
        <w:t xml:space="preserve">Али, А. М. (2021). ОБЗОР ПОГРАНИЧНЫХ ПРОБЛЕМ В ЦЕНТРАЛЬНОЙ АЗИИ. Постсоветские исследования, 4(8), </w:t>
      </w:r>
      <w:proofErr w:type="gramStart"/>
      <w:r w:rsidRPr="00BD39EA">
        <w:rPr>
          <w:color w:val="000000"/>
          <w:sz w:val="20"/>
          <w:szCs w:val="20"/>
        </w:rPr>
        <w:t>651-657</w:t>
      </w:r>
      <w:proofErr w:type="gramEnd"/>
      <w:r w:rsidRPr="00BD39EA">
        <w:rPr>
          <w:color w:val="000000"/>
          <w:sz w:val="20"/>
          <w:szCs w:val="20"/>
        </w:rPr>
        <w:t>.</w:t>
      </w:r>
    </w:p>
    <w:p w14:paraId="45A2F71B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 w:rsidRPr="00BD39EA">
        <w:rPr>
          <w:color w:val="000000"/>
          <w:sz w:val="20"/>
          <w:szCs w:val="20"/>
        </w:rPr>
        <w:t>Гарбузарова</w:t>
      </w:r>
      <w:proofErr w:type="spellEnd"/>
      <w:r w:rsidRPr="00BD39EA">
        <w:rPr>
          <w:color w:val="000000"/>
          <w:sz w:val="20"/>
          <w:szCs w:val="20"/>
        </w:rPr>
        <w:t xml:space="preserve">, Е. Г. (2021). Геополитические подходы к исследованию понятия «Центральная Азия». Проблемы постсоветского пространства, 7(4), </w:t>
      </w:r>
      <w:proofErr w:type="gramStart"/>
      <w:r w:rsidRPr="00BD39EA">
        <w:rPr>
          <w:color w:val="000000"/>
          <w:sz w:val="20"/>
          <w:szCs w:val="20"/>
        </w:rPr>
        <w:t>550-558</w:t>
      </w:r>
      <w:proofErr w:type="gramEnd"/>
      <w:r w:rsidRPr="00BD39EA">
        <w:rPr>
          <w:color w:val="000000"/>
          <w:sz w:val="20"/>
          <w:szCs w:val="20"/>
        </w:rPr>
        <w:t>.</w:t>
      </w:r>
    </w:p>
    <w:p w14:paraId="17EE9D47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 w:rsidRPr="00BD39EA">
        <w:rPr>
          <w:color w:val="000000"/>
          <w:sz w:val="20"/>
          <w:szCs w:val="20"/>
        </w:rPr>
        <w:t>Аламанов</w:t>
      </w:r>
      <w:proofErr w:type="spellEnd"/>
      <w:r w:rsidRPr="00BD39EA">
        <w:rPr>
          <w:color w:val="000000"/>
          <w:sz w:val="20"/>
          <w:szCs w:val="20"/>
        </w:rPr>
        <w:t xml:space="preserve">, С. К. (2018). Анклавы в Центральной Азии: история вопроса и современные проблемы. Постсоветские исследования, 1(5), </w:t>
      </w:r>
      <w:proofErr w:type="gramStart"/>
      <w:r w:rsidRPr="00BD39EA">
        <w:rPr>
          <w:color w:val="000000"/>
          <w:sz w:val="20"/>
          <w:szCs w:val="20"/>
        </w:rPr>
        <w:t>451-459</w:t>
      </w:r>
      <w:proofErr w:type="gramEnd"/>
      <w:r w:rsidRPr="00BD39EA">
        <w:rPr>
          <w:color w:val="000000"/>
          <w:sz w:val="20"/>
          <w:szCs w:val="20"/>
        </w:rPr>
        <w:t>.</w:t>
      </w:r>
    </w:p>
    <w:p w14:paraId="381477CC" w14:textId="77777777" w:rsidR="009406DD" w:rsidRPr="00BD39EA" w:rsidRDefault="009406DD" w:rsidP="009406D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4" w:name="_Hlk124506959"/>
      <w:r w:rsidRPr="00BD39EA">
        <w:rPr>
          <w:sz w:val="20"/>
          <w:szCs w:val="20"/>
        </w:rPr>
        <w:t>Потемкин, В. К. (2021). Конфликтология: учебник для вузов. СПБ, 373 с.</w:t>
      </w:r>
    </w:p>
    <w:bookmarkEnd w:id="4"/>
    <w:p w14:paraId="0444A022" w14:textId="77777777" w:rsidR="009406DD" w:rsidRDefault="009406DD" w:rsidP="009406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7BFF5B7" w14:textId="77777777" w:rsidR="009406DD" w:rsidRPr="00DE6F97" w:rsidRDefault="009406DD" w:rsidP="009406D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sz w:val="20"/>
          <w:szCs w:val="20"/>
        </w:rPr>
      </w:pPr>
      <w:proofErr w:type="gramStart"/>
      <w:r w:rsidRPr="00DE6F97">
        <w:rPr>
          <w:b/>
          <w:bCs/>
          <w:color w:val="000000"/>
          <w:sz w:val="20"/>
          <w:szCs w:val="20"/>
        </w:rPr>
        <w:t>Интернет ресурсы</w:t>
      </w:r>
      <w:proofErr w:type="gramEnd"/>
      <w:r w:rsidRPr="00DE6F97">
        <w:rPr>
          <w:b/>
          <w:bCs/>
          <w:color w:val="000000"/>
          <w:sz w:val="20"/>
          <w:szCs w:val="20"/>
        </w:rPr>
        <w:t xml:space="preserve"> </w:t>
      </w:r>
    </w:p>
    <w:p w14:paraId="7A42649D" w14:textId="77777777" w:rsidR="009406DD" w:rsidRPr="000544CE" w:rsidRDefault="009406DD" w:rsidP="009406DD">
      <w:pPr>
        <w:autoSpaceDE w:val="0"/>
        <w:autoSpaceDN w:val="0"/>
        <w:adjustRightInd w:val="0"/>
        <w:spacing w:after="27"/>
        <w:rPr>
          <w:rStyle w:val="Hyperlink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1</w:t>
      </w:r>
      <w:r w:rsidRPr="00293058">
        <w:rPr>
          <w:color w:val="FF0000"/>
          <w:sz w:val="20"/>
          <w:szCs w:val="20"/>
        </w:rPr>
        <w:t>.</w:t>
      </w:r>
      <w:r w:rsidRPr="00293058">
        <w:rPr>
          <w:color w:val="FF0000"/>
        </w:rPr>
        <w:t xml:space="preserve"> </w:t>
      </w:r>
      <w:hyperlink r:id="rId6" w:history="1">
        <w:r w:rsidRPr="00293058">
          <w:rPr>
            <w:rStyle w:val="Hyperlink"/>
            <w:color w:val="FF0000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>
        <w:rPr>
          <w:rStyle w:val="Hyperlink"/>
          <w:color w:val="FF0000"/>
          <w:sz w:val="20"/>
          <w:szCs w:val="20"/>
          <w:shd w:val="clear" w:color="auto" w:fill="FFFFFF"/>
          <w:lang w:val="kk-KZ"/>
        </w:rPr>
        <w:t xml:space="preserve"> </w:t>
      </w:r>
    </w:p>
    <w:p w14:paraId="601AD3E5" w14:textId="77777777" w:rsidR="009406DD" w:rsidRDefault="009406DD" w:rsidP="009406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t xml:space="preserve"> </w:t>
      </w:r>
      <w:r w:rsidRPr="00FC6875">
        <w:rPr>
          <w:color w:val="000000"/>
          <w:sz w:val="20"/>
          <w:szCs w:val="20"/>
        </w:rPr>
        <w:t>https://kisi.kz/</w:t>
      </w:r>
    </w:p>
    <w:p w14:paraId="011A7C39" w14:textId="003FD196" w:rsidR="009406DD" w:rsidRDefault="009406DD" w:rsidP="009406DD">
      <w:r>
        <w:rPr>
          <w:color w:val="000000"/>
          <w:sz w:val="20"/>
          <w:szCs w:val="20"/>
        </w:rPr>
        <w:lastRenderedPageBreak/>
        <w:t>3.</w:t>
      </w:r>
      <w:r>
        <w:t xml:space="preserve"> </w:t>
      </w:r>
      <w:r w:rsidRPr="003044F7">
        <w:rPr>
          <w:color w:val="000000"/>
          <w:sz w:val="20"/>
          <w:szCs w:val="20"/>
        </w:rPr>
        <w:t>https://centralasiaprogram.org/</w:t>
      </w:r>
    </w:p>
    <w:sectPr w:rsidR="0094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004C4"/>
    <w:multiLevelType w:val="hybridMultilevel"/>
    <w:tmpl w:val="1614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DD"/>
    <w:rsid w:val="004275F0"/>
    <w:rsid w:val="009406DD"/>
    <w:rsid w:val="00A1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16CE"/>
  <w15:chartTrackingRefBased/>
  <w15:docId w15:val="{FD4B24CB-017E-4D64-ADAB-52F50DB5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6DD"/>
    <w:pPr>
      <w:spacing w:after="0" w:line="240" w:lineRule="auto"/>
    </w:pPr>
  </w:style>
  <w:style w:type="table" w:styleId="TableGrid">
    <w:name w:val="Table Grid"/>
    <w:basedOn w:val="TableNormal"/>
    <w:uiPriority w:val="39"/>
    <w:rsid w:val="0094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406DD"/>
    <w:rPr>
      <w:rFonts w:cs="Times New Roman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40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akorda.kz/ru/legal_acts/decrees/o-koncepcii-vneshnei-politiki-respubliki-kazahstan-na-2020-2030-g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</cp:revision>
  <dcterms:created xsi:type="dcterms:W3CDTF">2023-01-26T08:41:00Z</dcterms:created>
  <dcterms:modified xsi:type="dcterms:W3CDTF">2023-01-26T09:06:00Z</dcterms:modified>
</cp:coreProperties>
</file>